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43" w:rsidRPr="00597F1F" w:rsidRDefault="000B5F43" w:rsidP="000B5F43">
      <w:pPr>
        <w:pStyle w:val="Kopfzeile"/>
        <w:rPr>
          <w:rFonts w:ascii="NimbusSanNov" w:hAnsi="NimbusSanNov"/>
        </w:rPr>
      </w:pPr>
      <w:r w:rsidRPr="00597F1F">
        <w:rPr>
          <w:rFonts w:ascii="NimbusSanNov" w:hAnsi="NimbusSanNov"/>
          <w:b/>
          <w:noProof/>
          <w:lang w:eastAsia="de-CH"/>
        </w:rPr>
        <mc:AlternateContent>
          <mc:Choice Requires="wps">
            <w:drawing>
              <wp:anchor distT="0" distB="0" distL="114300" distR="114300" simplePos="0" relativeHeight="251659264" behindDoc="0" locked="0" layoutInCell="1" allowOverlap="1" wp14:anchorId="2ACE598B" wp14:editId="494DEE5B">
                <wp:simplePos x="0" y="0"/>
                <wp:positionH relativeFrom="column">
                  <wp:posOffset>4786630</wp:posOffset>
                </wp:positionH>
                <wp:positionV relativeFrom="paragraph">
                  <wp:posOffset>-252095</wp:posOffset>
                </wp:positionV>
                <wp:extent cx="1028700" cy="1028700"/>
                <wp:effectExtent l="0" t="0" r="0" b="0"/>
                <wp:wrapNone/>
                <wp:docPr id="3" name="Textfeld 3"/>
                <wp:cNvGraphicFramePr/>
                <a:graphic xmlns:a="http://schemas.openxmlformats.org/drawingml/2006/main">
                  <a:graphicData uri="http://schemas.microsoft.com/office/word/2010/wordprocessingShape">
                    <wps:wsp>
                      <wps:cNvSpPr txBox="1"/>
                      <wps:spPr>
                        <a:xfrm>
                          <a:off x="0" y="0"/>
                          <a:ext cx="102870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5F43" w:rsidRDefault="00CF7143">
                            <w:r>
                              <w:rPr>
                                <w:noProof/>
                                <w:lang w:eastAsia="de-CH"/>
                              </w:rPr>
                              <w:drawing>
                                <wp:inline distT="0" distB="0" distL="0" distR="0" wp14:anchorId="5686F2DA" wp14:editId="121F7F99">
                                  <wp:extent cx="838200" cy="885825"/>
                                  <wp:effectExtent l="0" t="0" r="0" b="9525"/>
                                  <wp:docPr id="1" name="Grafik 1" descr="H:\SP Schweiz\Bilder, Logos, Unterschriften\Logos\Logo 2009\PS_f\PS_f_Bildmarke\CMYK\JPG\PS_f_Bildmark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P Schweiz\Bilder, Logos, Unterschriften\Logos\Logo 2009\PS_f\PS_f_Bildmarke\CMYK\JPG\PS_f_Bildmarke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inline>
                              </w:drawing>
                            </w:r>
                            <w:r w:rsidR="00870A62" w:rsidRPr="00870A62">
                              <w:rPr>
                                <w:noProof/>
                                <w:lang w:eastAsia="de-C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76.9pt;margin-top:-19.85pt;width:8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" fillcolor="white [3201]" stroked="f" strokeweight=".5pt">
                <v:textbox>
                  <w:txbxContent>
                    <w:p w:rsidR="000B5F43" w:rsidRDefault="00CF7143">
                      <w:r>
                        <w:rPr>
                          <w:noProof/>
                          <w:lang w:eastAsia="de-CH"/>
                        </w:rPr>
                        <w:drawing>
                          <wp:inline distT="0" distB="0" distL="0" distR="0" wp14:anchorId="5686F2DA" wp14:editId="121F7F99">
                            <wp:extent cx="838200" cy="885825"/>
                            <wp:effectExtent l="0" t="0" r="0" b="9525"/>
                            <wp:docPr id="1" name="Grafik 1" descr="H:\SP Schweiz\Bilder, Logos, Unterschriften\Logos\Logo 2009\PS_f\PS_f_Bildmarke\CMYK\JPG\PS_f_Bildmark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P Schweiz\Bilder, Logos, Unterschriften\Logos\Logo 2009\PS_f\PS_f_Bildmarke\CMYK\JPG\PS_f_Bildmarke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inline>
                        </w:drawing>
                      </w:r>
                      <w:r w:rsidR="00870A62" w:rsidRPr="00870A62">
                        <w:rPr>
                          <w:noProof/>
                          <w:lang w:eastAsia="de-CH"/>
                        </w:rPr>
                        <w:t xml:space="preserve"> </w:t>
                      </w:r>
                    </w:p>
                  </w:txbxContent>
                </v:textbox>
              </v:shape>
            </w:pict>
          </mc:Fallback>
        </mc:AlternateContent>
      </w:r>
    </w:p>
    <w:p w:rsidR="004B7D5F" w:rsidRPr="00597F1F" w:rsidRDefault="00870A62" w:rsidP="004B7D5F">
      <w:pPr>
        <w:rPr>
          <w:rFonts w:ascii="NimbusSanNov" w:hAnsi="NimbusSanNov"/>
          <w:b/>
          <w:sz w:val="24"/>
          <w:szCs w:val="24"/>
          <w:lang w:val="fr-CH"/>
        </w:rPr>
      </w:pPr>
      <w:r w:rsidRPr="00597F1F">
        <w:rPr>
          <w:rFonts w:ascii="NimbusSanNov" w:hAnsi="NimbusSanNov"/>
          <w:b/>
          <w:lang w:val="fr-CH"/>
        </w:rPr>
        <w:t xml:space="preserve">PS Suisse : </w:t>
      </w:r>
      <w:r w:rsidR="005F2944">
        <w:rPr>
          <w:rFonts w:ascii="NimbusSanNov" w:hAnsi="NimbusSanNov"/>
          <w:b/>
          <w:lang w:val="fr-CH"/>
        </w:rPr>
        <w:t xml:space="preserve">Résolution </w:t>
      </w:r>
      <w:r w:rsidR="009F2928">
        <w:rPr>
          <w:rFonts w:ascii="NimbusSanNov" w:hAnsi="NimbusSanNov"/>
          <w:b/>
          <w:lang w:val="fr-CH"/>
        </w:rPr>
        <w:t>Fabian Molina et al.</w:t>
      </w:r>
      <w:r w:rsidRPr="00597F1F">
        <w:rPr>
          <w:rFonts w:ascii="NimbusSanNov" w:hAnsi="NimbusSanNov"/>
          <w:b/>
          <w:lang w:val="fr-CH"/>
        </w:rPr>
        <w:br/>
        <w:t>approuvée par l’Assemblée des Délégué(e)s</w:t>
      </w:r>
      <w:proofErr w:type="gramStart"/>
      <w:r w:rsidRPr="00597F1F">
        <w:rPr>
          <w:rFonts w:ascii="NimbusSanNov" w:hAnsi="NimbusSanNov"/>
          <w:b/>
          <w:lang w:val="fr-CH"/>
        </w:rPr>
        <w:t>,</w:t>
      </w:r>
      <w:proofErr w:type="gramEnd"/>
      <w:r w:rsidRPr="00597F1F">
        <w:rPr>
          <w:rFonts w:ascii="NimbusSanNov" w:hAnsi="NimbusSanNov"/>
          <w:b/>
          <w:lang w:val="fr-CH"/>
        </w:rPr>
        <w:br/>
        <w:t xml:space="preserve">le </w:t>
      </w:r>
      <w:r w:rsidR="005F2944">
        <w:rPr>
          <w:rFonts w:ascii="NimbusSanNov" w:hAnsi="NimbusSanNov"/>
          <w:b/>
          <w:lang w:val="fr-CH"/>
        </w:rPr>
        <w:t>24 février 2018 à Altdorf</w:t>
      </w:r>
      <w:r w:rsidRPr="00597F1F">
        <w:rPr>
          <w:rFonts w:ascii="NimbusSanNov" w:hAnsi="NimbusSanNov"/>
          <w:b/>
          <w:sz w:val="24"/>
          <w:szCs w:val="24"/>
          <w:lang w:val="fr-CH"/>
        </w:rPr>
        <w:t xml:space="preserve"> </w:t>
      </w:r>
      <w:r w:rsidR="004B7D5F" w:rsidRPr="00597F1F">
        <w:rPr>
          <w:rFonts w:ascii="NimbusSanNov" w:hAnsi="NimbusSanNov"/>
          <w:b/>
          <w:sz w:val="24"/>
          <w:szCs w:val="24"/>
          <w:lang w:val="fr-CH"/>
        </w:rPr>
        <w:t>___________________________________________________________________________</w:t>
      </w:r>
    </w:p>
    <w:p w:rsidR="00337D16" w:rsidRPr="00597F1F" w:rsidRDefault="00337D16" w:rsidP="004B7D5F">
      <w:pPr>
        <w:rPr>
          <w:rFonts w:ascii="NimbusSanNov" w:hAnsi="NimbusSanNov"/>
          <w:b/>
          <w:sz w:val="24"/>
          <w:szCs w:val="24"/>
          <w:lang w:val="fr-CH"/>
        </w:rPr>
      </w:pPr>
    </w:p>
    <w:p w:rsidR="009F2928" w:rsidRPr="009F2928" w:rsidRDefault="009F2928" w:rsidP="009F2928">
      <w:pPr>
        <w:pStyle w:val="DVTitelTraktandum"/>
      </w:pPr>
      <w:r w:rsidRPr="009F2928">
        <w:t xml:space="preserve">RIE </w:t>
      </w:r>
      <w:r>
        <w:t xml:space="preserve">IV - </w:t>
      </w:r>
      <w:bookmarkStart w:id="0" w:name="_GoBack"/>
      <w:bookmarkEnd w:id="0"/>
      <w:r w:rsidRPr="009F2928">
        <w:t>combattre la ru</w:t>
      </w:r>
      <w:r w:rsidRPr="009F2928">
        <w:t>i</w:t>
      </w:r>
      <w:r w:rsidRPr="009F2928">
        <w:t xml:space="preserve">neuse concurrence fiscale </w:t>
      </w:r>
    </w:p>
    <w:p w:rsidR="009F2928" w:rsidRPr="009F2928" w:rsidRDefault="009F2928" w:rsidP="009F2928">
      <w:pPr>
        <w:jc w:val="both"/>
        <w:rPr>
          <w:rFonts w:ascii="NimbusSanNov" w:hAnsi="NimbusSanNov"/>
          <w:sz w:val="24"/>
          <w:szCs w:val="24"/>
          <w:lang w:val="fr-CH"/>
        </w:rPr>
      </w:pPr>
      <w:r w:rsidRPr="009F2928">
        <w:rPr>
          <w:rFonts w:ascii="NimbusSanNov" w:hAnsi="NimbusSanNov"/>
          <w:sz w:val="24"/>
          <w:szCs w:val="24"/>
          <w:lang w:val="fr-CH"/>
        </w:rPr>
        <w:t>Depuis les années 1970, les bénéfices des entreprises et les rendements des capitaux augmentent massivement dans le monde entier. Dans le même temps, les pouvoirs publics manquent toujours plus de fonds pour investir dans l’infrastructure et l’économie r</w:t>
      </w:r>
      <w:r w:rsidRPr="009F2928">
        <w:rPr>
          <w:rFonts w:ascii="NimbusSanNov" w:hAnsi="NimbusSanNov"/>
          <w:sz w:val="24"/>
          <w:szCs w:val="24"/>
          <w:lang w:val="fr-CH"/>
        </w:rPr>
        <w:t>é</w:t>
      </w:r>
      <w:r w:rsidRPr="009F2928">
        <w:rPr>
          <w:rFonts w:ascii="NimbusSanNov" w:hAnsi="NimbusSanNov"/>
          <w:sz w:val="24"/>
          <w:szCs w:val="24"/>
          <w:lang w:val="fr-CH"/>
        </w:rPr>
        <w:t>elle. Cette évolution est économiquement absurde et socialement dangereuse, car elle favorise les bulles spéculatives, accroît l’inégalité sociale, déstabilise les marchés du travail et affaiblit l’état de droit au niveau mondial. Les impôts pour les personnes morales corr</w:t>
      </w:r>
      <w:r w:rsidRPr="009F2928">
        <w:rPr>
          <w:rFonts w:ascii="NimbusSanNov" w:hAnsi="NimbusSanNov"/>
          <w:sz w:val="24"/>
          <w:szCs w:val="24"/>
          <w:lang w:val="fr-CH"/>
        </w:rPr>
        <w:t>i</w:t>
      </w:r>
      <w:r w:rsidRPr="009F2928">
        <w:rPr>
          <w:rFonts w:ascii="NimbusSanNov" w:hAnsi="NimbusSanNov"/>
          <w:sz w:val="24"/>
          <w:szCs w:val="24"/>
          <w:lang w:val="fr-CH"/>
        </w:rPr>
        <w:t>gent ici partiellement cette situation et permettent de réinjecter des capitaux dans les caisses de l’État et le circuit économique.</w:t>
      </w:r>
    </w:p>
    <w:p w:rsidR="009F2928" w:rsidRPr="009F2928" w:rsidRDefault="009F2928" w:rsidP="009F2928">
      <w:pPr>
        <w:jc w:val="both"/>
        <w:rPr>
          <w:rFonts w:ascii="NimbusSanNov" w:hAnsi="NimbusSanNov"/>
          <w:sz w:val="24"/>
          <w:szCs w:val="24"/>
          <w:lang w:val="fr-CH"/>
        </w:rPr>
      </w:pPr>
      <w:r w:rsidRPr="009F2928">
        <w:rPr>
          <w:rFonts w:ascii="NimbusSanNov" w:hAnsi="NimbusSanNov"/>
          <w:sz w:val="24"/>
          <w:szCs w:val="24"/>
          <w:lang w:val="fr-CH"/>
        </w:rPr>
        <w:t>Cependant, la concurrence fiscale internationale exerce une pression croissante sur l’imposition des entreprises partout dans le monde. De nombreux États ont depuis lon</w:t>
      </w:r>
      <w:r w:rsidRPr="009F2928">
        <w:rPr>
          <w:rFonts w:ascii="NimbusSanNov" w:hAnsi="NimbusSanNov"/>
          <w:sz w:val="24"/>
          <w:szCs w:val="24"/>
          <w:lang w:val="fr-CH"/>
        </w:rPr>
        <w:t>g</w:t>
      </w:r>
      <w:r w:rsidRPr="009F2928">
        <w:rPr>
          <w:rFonts w:ascii="NimbusSanNov" w:hAnsi="NimbusSanNov"/>
          <w:sz w:val="24"/>
          <w:szCs w:val="24"/>
          <w:lang w:val="fr-CH"/>
        </w:rPr>
        <w:t>temps intégré dans leur modèle politique la sous-cotation de normes mondiales et l’introduction de privilèges fiscaux pour les entreprises. Conjuguée avec l’évasion fiscale systématique des riches particuliers et des sociétés par actions, qui selon des estimations de l’OCDE rapporte aux pays les plus pauvres entre 150 et 200 milliards de dollars par an, la concurrence fiscale internationale est un facteur majeur de la croissance de l’injustice dans le monde.</w:t>
      </w:r>
    </w:p>
    <w:p w:rsidR="009F2928" w:rsidRPr="009F2928" w:rsidRDefault="009F2928" w:rsidP="009F2928">
      <w:pPr>
        <w:jc w:val="both"/>
        <w:rPr>
          <w:rFonts w:ascii="NimbusSanNov" w:hAnsi="NimbusSanNov"/>
          <w:sz w:val="24"/>
          <w:szCs w:val="24"/>
          <w:lang w:val="fr-CH"/>
        </w:rPr>
      </w:pPr>
      <w:r w:rsidRPr="009F2928">
        <w:rPr>
          <w:rFonts w:ascii="NimbusSanNov" w:hAnsi="NimbusSanNov"/>
          <w:sz w:val="24"/>
          <w:szCs w:val="24"/>
          <w:lang w:val="fr-CH"/>
        </w:rPr>
        <w:t>La Suisse, sous le leadership de la droite, joue un rôle moteur dans ce système de du</w:t>
      </w:r>
      <w:r w:rsidRPr="009F2928">
        <w:rPr>
          <w:rFonts w:ascii="NimbusSanNov" w:hAnsi="NimbusSanNov"/>
          <w:sz w:val="24"/>
          <w:szCs w:val="24"/>
          <w:lang w:val="fr-CH"/>
        </w:rPr>
        <w:t>m</w:t>
      </w:r>
      <w:r w:rsidRPr="009F2928">
        <w:rPr>
          <w:rFonts w:ascii="NimbusSanNov" w:hAnsi="NimbusSanNov"/>
          <w:sz w:val="24"/>
          <w:szCs w:val="24"/>
          <w:lang w:val="fr-CH"/>
        </w:rPr>
        <w:t xml:space="preserve">ping fiscal. En 1992, un bénéfice net d’environ 40 milliards de francs suisses a été déclaré aux autorités fiscales en Suisse. Cette somme s’élevait à 120 milliards de francs suisses en 2004, et elle a atteint un montant incroyable de 322 milliards de francs suisses en 2010. </w:t>
      </w:r>
      <w:proofErr w:type="gramStart"/>
      <w:r w:rsidRPr="009F2928">
        <w:rPr>
          <w:rFonts w:ascii="NimbusSanNov" w:hAnsi="NimbusSanNov"/>
          <w:sz w:val="24"/>
          <w:szCs w:val="24"/>
          <w:lang w:val="fr-CH"/>
        </w:rPr>
        <w:t>Cela est</w:t>
      </w:r>
      <w:proofErr w:type="gramEnd"/>
      <w:r w:rsidRPr="009F2928">
        <w:rPr>
          <w:rFonts w:ascii="NimbusSanNov" w:hAnsi="NimbusSanNov"/>
          <w:sz w:val="24"/>
          <w:szCs w:val="24"/>
          <w:lang w:val="fr-CH"/>
        </w:rPr>
        <w:t xml:space="preserve"> dû au fait que les entreprises étrangères s’installent en masse sur notre te</w:t>
      </w:r>
      <w:r w:rsidRPr="009F2928">
        <w:rPr>
          <w:rFonts w:ascii="NimbusSanNov" w:hAnsi="NimbusSanNov"/>
          <w:sz w:val="24"/>
          <w:szCs w:val="24"/>
          <w:lang w:val="fr-CH"/>
        </w:rPr>
        <w:t>r</w:t>
      </w:r>
      <w:r w:rsidRPr="009F2928">
        <w:rPr>
          <w:rFonts w:ascii="NimbusSanNov" w:hAnsi="NimbusSanNov"/>
          <w:sz w:val="24"/>
          <w:szCs w:val="24"/>
          <w:lang w:val="fr-CH"/>
        </w:rPr>
        <w:t xml:space="preserve">ritoire dans le but d’y faire des économies d’impôts. Selon une étude des ONG Oxfam et du </w:t>
      </w:r>
      <w:proofErr w:type="spellStart"/>
      <w:r w:rsidRPr="009F2928">
        <w:rPr>
          <w:rFonts w:ascii="NimbusSanNov" w:hAnsi="NimbusSanNov"/>
          <w:sz w:val="24"/>
          <w:szCs w:val="24"/>
          <w:lang w:val="fr-CH"/>
        </w:rPr>
        <w:t>Tax</w:t>
      </w:r>
      <w:proofErr w:type="spellEnd"/>
      <w:r w:rsidRPr="009F2928">
        <w:rPr>
          <w:rFonts w:ascii="NimbusSanNov" w:hAnsi="NimbusSanNov"/>
          <w:sz w:val="24"/>
          <w:szCs w:val="24"/>
          <w:lang w:val="fr-CH"/>
        </w:rPr>
        <w:t xml:space="preserve"> Justice Network, le solde d’intérêts issu des crédits interentreprises de la Suisse par rapport aux pays étrangers s’élève aujourd’hui à 12 milliards de dollars.</w:t>
      </w:r>
    </w:p>
    <w:p w:rsidR="009F2928" w:rsidRPr="009F2928" w:rsidRDefault="009F2928" w:rsidP="009F2928">
      <w:pPr>
        <w:jc w:val="both"/>
        <w:rPr>
          <w:rFonts w:ascii="NimbusSanNov" w:hAnsi="NimbusSanNov"/>
          <w:sz w:val="24"/>
          <w:szCs w:val="24"/>
          <w:lang w:val="fr-CH"/>
        </w:rPr>
      </w:pPr>
      <w:r w:rsidRPr="009F2928">
        <w:rPr>
          <w:rFonts w:ascii="NimbusSanNov" w:hAnsi="NimbusSanNov"/>
          <w:sz w:val="24"/>
          <w:szCs w:val="24"/>
          <w:lang w:val="fr-CH"/>
        </w:rPr>
        <w:t xml:space="preserve">Grâce à la politique de dumping fiscal de certains pays riches − dont la Suisse −, il manque chaque année aux pays en développement environ 200 milliards de dollars (!) de substrat fiscal du fait de la seule évasion fiscale des sociétés (ou de leurs filiales). L’évasion fiscale fait que les pays les plus pauvres du monde manquent d’argent pour les services publics de base. Cela entrave de façon injustifiée le développement économique de ces pays et renforce encore la pauvreté.  </w:t>
      </w:r>
    </w:p>
    <w:p w:rsidR="009F2928" w:rsidRPr="009F2928" w:rsidRDefault="009F2928" w:rsidP="009F2928">
      <w:pPr>
        <w:jc w:val="both"/>
        <w:rPr>
          <w:rFonts w:ascii="NimbusSanNov" w:hAnsi="NimbusSanNov"/>
          <w:sz w:val="24"/>
          <w:szCs w:val="24"/>
          <w:lang w:val="fr-CH"/>
        </w:rPr>
      </w:pPr>
      <w:r w:rsidRPr="009F2928">
        <w:rPr>
          <w:rFonts w:ascii="NimbusSanNov" w:hAnsi="NimbusSanNov"/>
          <w:sz w:val="24"/>
          <w:szCs w:val="24"/>
          <w:lang w:val="fr-CH"/>
        </w:rPr>
        <w:t>Depuis 2013, l’OCDE a intensifié la lutte contre les privilèges fiscaux. En tant que pays membre, la Suisse est obligée d’abolir les privilèges fiscaux injustifiés — une chose que le PS Suisse réclame depuis des décennies. Toutefois, pour freiner la concurrence fiscale internationale, ces privilèges ne doivent pas être remplacés par de nouveaux moyens d’échapper au fisc. En tant que parti internationaliste, le PS Suisse défend des règles équ</w:t>
      </w:r>
      <w:r w:rsidRPr="009F2928">
        <w:rPr>
          <w:rFonts w:ascii="NimbusSanNov" w:hAnsi="NimbusSanNov"/>
          <w:sz w:val="24"/>
          <w:szCs w:val="24"/>
          <w:lang w:val="fr-CH"/>
        </w:rPr>
        <w:t>i</w:t>
      </w:r>
      <w:r w:rsidRPr="009F2928">
        <w:rPr>
          <w:rFonts w:ascii="NimbusSanNov" w:hAnsi="NimbusSanNov"/>
          <w:sz w:val="24"/>
          <w:szCs w:val="24"/>
          <w:lang w:val="fr-CH"/>
        </w:rPr>
        <w:t xml:space="preserve">tables également en matière de politique fiscale. C’est en effet le seul moyen de réduire les inégalités structurelles à l’échelle mondiale. </w:t>
      </w:r>
    </w:p>
    <w:p w:rsidR="009F2928" w:rsidRPr="009F2928" w:rsidRDefault="009F2928" w:rsidP="009F2928">
      <w:pPr>
        <w:jc w:val="both"/>
        <w:rPr>
          <w:rFonts w:ascii="NimbusSanNov" w:hAnsi="NimbusSanNov"/>
          <w:sz w:val="24"/>
          <w:szCs w:val="24"/>
          <w:lang w:val="fr-CH"/>
        </w:rPr>
      </w:pPr>
      <w:r w:rsidRPr="009F2928">
        <w:rPr>
          <w:rFonts w:ascii="NimbusSanNov" w:hAnsi="NimbusSanNov"/>
          <w:sz w:val="24"/>
          <w:szCs w:val="24"/>
          <w:lang w:val="fr-CH"/>
        </w:rPr>
        <w:t>Avec le rejet massif de la troisième réforme de l’imposition des entreprises (RIE III) par près de 60 % des électeurs le 9 février 2017, ce sont de nouveaux cadeaux fiscaux pour les grandes sociétés, à hauteur de milliards, qui ont été refusés. Ce vote a également opposé un NON aux nouveaux privilèges fiscaux, tels que la boîte à brevets (« </w:t>
      </w:r>
      <w:r w:rsidRPr="009F2928">
        <w:rPr>
          <w:rFonts w:ascii="NimbusSanNov" w:hAnsi="NimbusSanNov"/>
          <w:i/>
          <w:sz w:val="24"/>
          <w:szCs w:val="24"/>
          <w:lang w:val="fr-CH"/>
        </w:rPr>
        <w:t>patent box</w:t>
      </w:r>
      <w:r w:rsidRPr="009F2928">
        <w:rPr>
          <w:rFonts w:ascii="NimbusSanNov" w:hAnsi="NimbusSanNov"/>
          <w:sz w:val="24"/>
          <w:szCs w:val="24"/>
          <w:lang w:val="fr-CH"/>
        </w:rPr>
        <w:t> »), l’encouragement en amont (la promotion des intrants) ou l’impôt sur les bénéfices corrigé des intérêts. Les entreprises auraient ainsi continué de taxer leurs bénéfices à un taux inf</w:t>
      </w:r>
      <w:r w:rsidRPr="009F2928">
        <w:rPr>
          <w:rFonts w:ascii="NimbusSanNov" w:hAnsi="NimbusSanNov"/>
          <w:sz w:val="24"/>
          <w:szCs w:val="24"/>
          <w:lang w:val="fr-CH"/>
        </w:rPr>
        <w:t>é</w:t>
      </w:r>
      <w:r w:rsidRPr="009F2928">
        <w:rPr>
          <w:rFonts w:ascii="NimbusSanNov" w:hAnsi="NimbusSanNov"/>
          <w:sz w:val="24"/>
          <w:szCs w:val="24"/>
          <w:lang w:val="fr-CH"/>
        </w:rPr>
        <w:t>rieur à celui de l’étranger et se seraient installées toujours davantage en Suisse.</w:t>
      </w:r>
    </w:p>
    <w:p w:rsidR="009F2928" w:rsidRPr="009F2928" w:rsidRDefault="009F2928" w:rsidP="009F2928">
      <w:pPr>
        <w:jc w:val="both"/>
        <w:rPr>
          <w:rFonts w:ascii="NimbusSanNov" w:hAnsi="NimbusSanNov"/>
          <w:sz w:val="24"/>
          <w:szCs w:val="24"/>
          <w:lang w:val="fr-CH"/>
        </w:rPr>
      </w:pPr>
      <w:r w:rsidRPr="009F2928">
        <w:rPr>
          <w:rFonts w:ascii="NimbusSanNov" w:hAnsi="NimbusSanNov"/>
          <w:sz w:val="24"/>
          <w:szCs w:val="24"/>
          <w:lang w:val="fr-CH"/>
        </w:rPr>
        <w:t xml:space="preserve">Sous le nom de Projet fiscal 17 (PF 17), le conseiller fédéral Ueli </w:t>
      </w:r>
      <w:proofErr w:type="spellStart"/>
      <w:r w:rsidRPr="009F2928">
        <w:rPr>
          <w:rFonts w:ascii="NimbusSanNov" w:hAnsi="NimbusSanNov"/>
          <w:sz w:val="24"/>
          <w:szCs w:val="24"/>
          <w:lang w:val="fr-CH"/>
        </w:rPr>
        <w:t>Maurer</w:t>
      </w:r>
      <w:proofErr w:type="spellEnd"/>
      <w:r w:rsidRPr="009F2928">
        <w:rPr>
          <w:rFonts w:ascii="NimbusSanNov" w:hAnsi="NimbusSanNov"/>
          <w:sz w:val="24"/>
          <w:szCs w:val="24"/>
          <w:lang w:val="fr-CH"/>
        </w:rPr>
        <w:t xml:space="preserve"> tente une nouvelle fois de sauvegarder les intérêts des groupes d’entreprises dans le respect des normes de l’OCDE dans le cadre d’une RIE IV. La RIE IV n’a ici qu’un seul objectif</w:t>
      </w:r>
      <w:r w:rsidRPr="009F2928">
        <w:rPr>
          <w:rFonts w:ascii="Times New Roman" w:hAnsi="Times New Roman" w:cs="Times New Roman"/>
          <w:sz w:val="24"/>
          <w:szCs w:val="24"/>
          <w:lang w:val="fr-CH"/>
        </w:rPr>
        <w:t> </w:t>
      </w:r>
      <w:r w:rsidRPr="009F2928">
        <w:rPr>
          <w:rFonts w:ascii="NimbusSanNov" w:hAnsi="NimbusSanNov"/>
          <w:sz w:val="24"/>
          <w:szCs w:val="24"/>
          <w:lang w:val="fr-CH"/>
        </w:rPr>
        <w:t xml:space="preserve">: maintenir l’impôt sur les sociétés au niveau le plus bas possible en comparaison internationale. Cette ligne d’action est profondément non solidaire et est donc strictement rejetée par le PS. </w:t>
      </w:r>
    </w:p>
    <w:p w:rsidR="009F2928" w:rsidRPr="009F2928" w:rsidRDefault="009F2928" w:rsidP="009F2928">
      <w:pPr>
        <w:jc w:val="both"/>
        <w:rPr>
          <w:rFonts w:ascii="NimbusSanNov" w:hAnsi="NimbusSanNov"/>
          <w:sz w:val="24"/>
          <w:szCs w:val="24"/>
          <w:lang w:val="fr-CH"/>
        </w:rPr>
      </w:pPr>
      <w:r w:rsidRPr="009F2928">
        <w:rPr>
          <w:rFonts w:ascii="NimbusSanNov" w:hAnsi="NimbusSanNov"/>
          <w:sz w:val="24"/>
          <w:szCs w:val="24"/>
          <w:lang w:val="fr-CH"/>
        </w:rPr>
        <w:t>Mais la concurrence fiscale pose des problèmes importants aussi en Suisse. La lutte entre cantons pour les impôts les plus bas pèse sur les budgets cantonaux et communaux et conduit, aujourd’hui déjà, à un démantèlement inacceptable des services publics dans certains domaines. Aujourd’hui déjà, même les directeurs financiers du camp bourgeois réclament donc le retrait des instruments les plus incisifs de la RIE II.</w:t>
      </w:r>
    </w:p>
    <w:p w:rsidR="009F2928" w:rsidRPr="009F2928" w:rsidRDefault="009F2928" w:rsidP="009F2928">
      <w:pPr>
        <w:jc w:val="both"/>
        <w:rPr>
          <w:rFonts w:ascii="NimbusSanNov" w:hAnsi="NimbusSanNov"/>
          <w:sz w:val="24"/>
          <w:szCs w:val="24"/>
          <w:lang w:val="fr-CH"/>
        </w:rPr>
      </w:pPr>
      <w:r w:rsidRPr="009F2928">
        <w:rPr>
          <w:rFonts w:ascii="NimbusSanNov" w:hAnsi="NimbusSanNov"/>
          <w:sz w:val="24"/>
          <w:szCs w:val="24"/>
          <w:lang w:val="fr-CH"/>
        </w:rPr>
        <w:t>Dans le cadre de la RIE IV, le PS Suisse demande donc au Conseil fédéral d’intégrer une comparaison juridique globale avec les États de l’UE et de l’OCDE dans le message adre</w:t>
      </w:r>
      <w:r w:rsidRPr="009F2928">
        <w:rPr>
          <w:rFonts w:ascii="NimbusSanNov" w:hAnsi="NimbusSanNov"/>
          <w:sz w:val="24"/>
          <w:szCs w:val="24"/>
          <w:lang w:val="fr-CH"/>
        </w:rPr>
        <w:t>s</w:t>
      </w:r>
      <w:r w:rsidRPr="009F2928">
        <w:rPr>
          <w:rFonts w:ascii="NimbusSanNov" w:hAnsi="NimbusSanNov"/>
          <w:sz w:val="24"/>
          <w:szCs w:val="24"/>
          <w:lang w:val="fr-CH"/>
        </w:rPr>
        <w:t>sé au Parlement et de proposer des variantes de restrictions au principe de l’apport de capital, accompagnées d’un modèle simple d’imposition globale des entreprises («</w:t>
      </w:r>
      <w:r w:rsidRPr="009F2928">
        <w:rPr>
          <w:rFonts w:ascii="Times New Roman" w:hAnsi="Times New Roman" w:cs="Times New Roman"/>
          <w:sz w:val="24"/>
          <w:szCs w:val="24"/>
          <w:lang w:val="fr-CH"/>
        </w:rPr>
        <w:t> </w:t>
      </w:r>
      <w:proofErr w:type="spellStart"/>
      <w:r w:rsidRPr="009F2928">
        <w:rPr>
          <w:rFonts w:ascii="NimbusSanNov" w:hAnsi="NimbusSanNov"/>
          <w:i/>
          <w:sz w:val="24"/>
          <w:szCs w:val="24"/>
          <w:lang w:val="fr-CH"/>
        </w:rPr>
        <w:t>Unitary</w:t>
      </w:r>
      <w:proofErr w:type="spellEnd"/>
      <w:r w:rsidRPr="009F2928">
        <w:rPr>
          <w:rFonts w:ascii="NimbusSanNov" w:hAnsi="NimbusSanNov"/>
          <w:i/>
          <w:sz w:val="24"/>
          <w:szCs w:val="24"/>
          <w:lang w:val="fr-CH"/>
        </w:rPr>
        <w:t xml:space="preserve"> Taxation</w:t>
      </w:r>
      <w:r w:rsidRPr="009F2928">
        <w:rPr>
          <w:rFonts w:ascii="Times New Roman" w:hAnsi="Times New Roman" w:cs="Times New Roman"/>
          <w:sz w:val="24"/>
          <w:szCs w:val="24"/>
          <w:lang w:val="fr-CH"/>
        </w:rPr>
        <w:t> </w:t>
      </w:r>
      <w:r w:rsidRPr="009F2928">
        <w:rPr>
          <w:rFonts w:ascii="NimbusSanNov" w:hAnsi="NimbusSanNov"/>
          <w:sz w:val="24"/>
          <w:szCs w:val="24"/>
          <w:lang w:val="fr-CH"/>
        </w:rPr>
        <w:t>»). Comme mesure supplémentaire contre les transferts de bénéfices, il est n</w:t>
      </w:r>
      <w:r w:rsidRPr="009F2928">
        <w:rPr>
          <w:rFonts w:ascii="NimbusSanNov" w:hAnsi="NimbusSanNov"/>
          <w:sz w:val="24"/>
          <w:szCs w:val="24"/>
          <w:lang w:val="fr-CH"/>
        </w:rPr>
        <w:t>é</w:t>
      </w:r>
      <w:r w:rsidRPr="009F2928">
        <w:rPr>
          <w:rFonts w:ascii="NimbusSanNov" w:hAnsi="NimbusSanNov"/>
          <w:sz w:val="24"/>
          <w:szCs w:val="24"/>
          <w:lang w:val="fr-CH"/>
        </w:rPr>
        <w:t>cessaire d’introduire le « </w:t>
      </w:r>
      <w:proofErr w:type="spellStart"/>
      <w:r w:rsidRPr="009F2928">
        <w:rPr>
          <w:rFonts w:ascii="NimbusSanNov" w:hAnsi="NimbusSanNov"/>
          <w:i/>
          <w:sz w:val="24"/>
          <w:szCs w:val="24"/>
          <w:lang w:val="fr-CH"/>
        </w:rPr>
        <w:t>reporting</w:t>
      </w:r>
      <w:proofErr w:type="spellEnd"/>
      <w:r w:rsidRPr="009F2928">
        <w:rPr>
          <w:rFonts w:ascii="NimbusSanNov" w:hAnsi="NimbusSanNov"/>
          <w:sz w:val="24"/>
          <w:szCs w:val="24"/>
          <w:lang w:val="fr-CH"/>
        </w:rPr>
        <w:t> » public pays par pays («</w:t>
      </w:r>
      <w:r w:rsidRPr="009F2928">
        <w:rPr>
          <w:rFonts w:ascii="Times New Roman" w:hAnsi="Times New Roman" w:cs="Times New Roman"/>
          <w:sz w:val="24"/>
          <w:szCs w:val="24"/>
          <w:lang w:val="fr-CH"/>
        </w:rPr>
        <w:t> </w:t>
      </w:r>
      <w:r w:rsidRPr="009F2928">
        <w:rPr>
          <w:rFonts w:ascii="NimbusSanNov" w:hAnsi="NimbusSanNov"/>
          <w:sz w:val="24"/>
          <w:szCs w:val="24"/>
          <w:lang w:val="fr-CH"/>
        </w:rPr>
        <w:t xml:space="preserve">Public Country-by-Country </w:t>
      </w:r>
      <w:proofErr w:type="spellStart"/>
      <w:r w:rsidRPr="009F2928">
        <w:rPr>
          <w:rFonts w:ascii="NimbusSanNov" w:hAnsi="NimbusSanNov"/>
          <w:sz w:val="24"/>
          <w:szCs w:val="24"/>
          <w:lang w:val="fr-CH"/>
        </w:rPr>
        <w:t>R</w:t>
      </w:r>
      <w:r w:rsidRPr="009F2928">
        <w:rPr>
          <w:rFonts w:ascii="NimbusSanNov" w:hAnsi="NimbusSanNov"/>
          <w:sz w:val="24"/>
          <w:szCs w:val="24"/>
          <w:lang w:val="fr-CH"/>
        </w:rPr>
        <w:t>e</w:t>
      </w:r>
      <w:r w:rsidRPr="009F2928">
        <w:rPr>
          <w:rFonts w:ascii="NimbusSanNov" w:hAnsi="NimbusSanNov"/>
          <w:sz w:val="24"/>
          <w:szCs w:val="24"/>
          <w:lang w:val="fr-CH"/>
        </w:rPr>
        <w:t>porting</w:t>
      </w:r>
      <w:proofErr w:type="spellEnd"/>
      <w:r w:rsidRPr="009F2928">
        <w:rPr>
          <w:rFonts w:ascii="Times New Roman" w:hAnsi="Times New Roman" w:cs="Times New Roman"/>
          <w:sz w:val="24"/>
          <w:szCs w:val="24"/>
          <w:lang w:val="fr-CH"/>
        </w:rPr>
        <w:t> </w:t>
      </w:r>
      <w:r w:rsidRPr="009F2928">
        <w:rPr>
          <w:rFonts w:ascii="NimbusSanNov" w:hAnsi="NimbusSanNov"/>
          <w:sz w:val="24"/>
          <w:szCs w:val="24"/>
          <w:lang w:val="fr-CH"/>
        </w:rPr>
        <w:t xml:space="preserve">»). Afin de réduire la concurrence fiscale en Suisse, le PS demande également des mesures d’harmonisation fiscale </w:t>
      </w:r>
      <w:proofErr w:type="spellStart"/>
      <w:r w:rsidRPr="009F2928">
        <w:rPr>
          <w:rFonts w:ascii="NimbusSanNov" w:hAnsi="NimbusSanNov"/>
          <w:sz w:val="24"/>
          <w:szCs w:val="24"/>
          <w:lang w:val="fr-CH"/>
        </w:rPr>
        <w:t>intercantonale</w:t>
      </w:r>
      <w:proofErr w:type="spellEnd"/>
      <w:r w:rsidRPr="009F2928">
        <w:rPr>
          <w:rFonts w:ascii="NimbusSanNov" w:hAnsi="NimbusSanNov"/>
          <w:sz w:val="24"/>
          <w:szCs w:val="24"/>
          <w:lang w:val="fr-CH"/>
        </w:rPr>
        <w:t xml:space="preserve"> − une harmonisation telle que l’a proposée en 2014 le groupe d’experts </w:t>
      </w:r>
      <w:proofErr w:type="spellStart"/>
      <w:r w:rsidRPr="009F2928">
        <w:rPr>
          <w:rFonts w:ascii="NimbusSanNov" w:hAnsi="NimbusSanNov"/>
          <w:sz w:val="24"/>
          <w:szCs w:val="24"/>
          <w:lang w:val="fr-CH"/>
        </w:rPr>
        <w:t>Brunetti</w:t>
      </w:r>
      <w:proofErr w:type="spellEnd"/>
      <w:r w:rsidRPr="009F2928">
        <w:rPr>
          <w:rFonts w:ascii="NimbusSanNov" w:hAnsi="NimbusSanNov"/>
          <w:sz w:val="24"/>
          <w:szCs w:val="24"/>
          <w:lang w:val="fr-CH"/>
        </w:rPr>
        <w:t xml:space="preserve"> pour le développement futur du marché financier. En conséquence, il faut tester un impôt uniforme sur le bénéfice pour toutes les sociétés a</w:t>
      </w:r>
      <w:r w:rsidRPr="009F2928">
        <w:rPr>
          <w:rFonts w:ascii="NimbusSanNov" w:hAnsi="NimbusSanNov"/>
          <w:sz w:val="24"/>
          <w:szCs w:val="24"/>
          <w:lang w:val="fr-CH"/>
        </w:rPr>
        <w:t>p</w:t>
      </w:r>
      <w:r w:rsidRPr="009F2928">
        <w:rPr>
          <w:rFonts w:ascii="NimbusSanNov" w:hAnsi="NimbusSanNov"/>
          <w:sz w:val="24"/>
          <w:szCs w:val="24"/>
          <w:lang w:val="fr-CH"/>
        </w:rPr>
        <w:t>partenant à un groupe pour l’ensemble des activités suisses. Quoi qu’il en soit, le peuple doit pouvoir avoir le dernier mot sur la RIE IV et la possibilité de lancer un référendum doit être donnée.</w:t>
      </w:r>
    </w:p>
    <w:sectPr w:rsidR="009F2928" w:rsidRPr="009F29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F1F" w:rsidRDefault="00597F1F" w:rsidP="00597F1F">
      <w:pPr>
        <w:spacing w:after="0" w:line="240" w:lineRule="auto"/>
      </w:pPr>
      <w:r>
        <w:separator/>
      </w:r>
    </w:p>
  </w:endnote>
  <w:endnote w:type="continuationSeparator" w:id="0">
    <w:p w:rsidR="00597F1F" w:rsidRDefault="00597F1F" w:rsidP="0059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NovReg">
    <w:altName w:val="Times New Roman"/>
    <w:charset w:val="00"/>
    <w:family w:val="auto"/>
    <w:pitch w:val="variable"/>
    <w:sig w:usb0="00000001" w:usb1="5000205B" w:usb2="00000000" w:usb3="00000000" w:csb0="0000009F" w:csb1="00000000"/>
  </w:font>
  <w:font w:name="NimbusSanNov">
    <w:panose1 w:val="020205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F1F" w:rsidRDefault="00597F1F" w:rsidP="00597F1F">
      <w:pPr>
        <w:spacing w:after="0" w:line="240" w:lineRule="auto"/>
      </w:pPr>
      <w:r>
        <w:separator/>
      </w:r>
    </w:p>
  </w:footnote>
  <w:footnote w:type="continuationSeparator" w:id="0">
    <w:p w:rsidR="00597F1F" w:rsidRDefault="00597F1F" w:rsidP="00597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A1972"/>
    <w:multiLevelType w:val="hybridMultilevel"/>
    <w:tmpl w:val="D0D078E2"/>
    <w:lvl w:ilvl="0" w:tplc="100C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abstractNum w:abstractNumId="1">
    <w:nsid w:val="6B306AE8"/>
    <w:multiLevelType w:val="hybridMultilevel"/>
    <w:tmpl w:val="10AE1F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5F"/>
    <w:rsid w:val="000620E6"/>
    <w:rsid w:val="000723EF"/>
    <w:rsid w:val="000B5F43"/>
    <w:rsid w:val="00284558"/>
    <w:rsid w:val="002E1557"/>
    <w:rsid w:val="00337D16"/>
    <w:rsid w:val="00481C4B"/>
    <w:rsid w:val="004B7D5F"/>
    <w:rsid w:val="005574CD"/>
    <w:rsid w:val="00597F1F"/>
    <w:rsid w:val="005F2944"/>
    <w:rsid w:val="00870A62"/>
    <w:rsid w:val="009F2928"/>
    <w:rsid w:val="00CF7143"/>
    <w:rsid w:val="00E17800"/>
    <w:rsid w:val="00E82065"/>
    <w:rsid w:val="00E938BD"/>
    <w:rsid w:val="00FA46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74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4CD"/>
    <w:rPr>
      <w:rFonts w:ascii="Tahoma" w:hAnsi="Tahoma" w:cs="Tahoma"/>
      <w:sz w:val="16"/>
      <w:szCs w:val="16"/>
    </w:rPr>
  </w:style>
  <w:style w:type="paragraph" w:styleId="Kopfzeile">
    <w:name w:val="header"/>
    <w:basedOn w:val="Standard"/>
    <w:link w:val="KopfzeileZchn"/>
    <w:rsid w:val="000B5F43"/>
    <w:pPr>
      <w:tabs>
        <w:tab w:val="center" w:pos="4153"/>
        <w:tab w:val="right" w:pos="8306"/>
      </w:tabs>
      <w:spacing w:after="0" w:line="240" w:lineRule="auto"/>
    </w:pPr>
    <w:rPr>
      <w:rFonts w:ascii="NimbusSanNovReg" w:eastAsia="Times New Roman" w:hAnsi="NimbusSanNovReg" w:cs="Times New Roman"/>
      <w:szCs w:val="24"/>
    </w:rPr>
  </w:style>
  <w:style w:type="character" w:customStyle="1" w:styleId="KopfzeileZchn">
    <w:name w:val="Kopfzeile Zchn"/>
    <w:basedOn w:val="Absatz-Standardschriftart"/>
    <w:link w:val="Kopfzeile"/>
    <w:rsid w:val="000B5F43"/>
    <w:rPr>
      <w:rFonts w:ascii="NimbusSanNovReg" w:eastAsia="Times New Roman" w:hAnsi="NimbusSanNovReg" w:cs="Times New Roman"/>
      <w:szCs w:val="24"/>
    </w:rPr>
  </w:style>
  <w:style w:type="paragraph" w:customStyle="1" w:styleId="DVTitelTraktandum">
    <w:name w:val="DV Titel Traktandum"/>
    <w:basedOn w:val="Standard"/>
    <w:autoRedefine/>
    <w:qFormat/>
    <w:rsid w:val="00E82065"/>
    <w:pPr>
      <w:spacing w:after="120"/>
    </w:pPr>
    <w:rPr>
      <w:rFonts w:ascii="NimbusSanNov" w:hAnsi="NimbusSanNov"/>
      <w:b/>
      <w:sz w:val="32"/>
      <w:szCs w:val="32"/>
      <w:lang w:val="fr-CH"/>
    </w:rPr>
  </w:style>
  <w:style w:type="paragraph" w:styleId="Funotentext">
    <w:name w:val="footnote text"/>
    <w:basedOn w:val="Standard"/>
    <w:link w:val="FunotentextZchn"/>
    <w:uiPriority w:val="99"/>
    <w:unhideWhenUsed/>
    <w:rsid w:val="00597F1F"/>
    <w:pPr>
      <w:spacing w:after="0" w:line="240" w:lineRule="auto"/>
    </w:pPr>
    <w:rPr>
      <w:sz w:val="20"/>
      <w:szCs w:val="20"/>
      <w:lang w:val="fr-CH"/>
    </w:rPr>
  </w:style>
  <w:style w:type="character" w:customStyle="1" w:styleId="FunotentextZchn">
    <w:name w:val="Fußnotentext Zchn"/>
    <w:basedOn w:val="Absatz-Standardschriftart"/>
    <w:link w:val="Funotentext"/>
    <w:uiPriority w:val="99"/>
    <w:rsid w:val="00597F1F"/>
    <w:rPr>
      <w:sz w:val="20"/>
      <w:szCs w:val="20"/>
      <w:lang w:val="fr-CH"/>
    </w:rPr>
  </w:style>
  <w:style w:type="character" w:styleId="Funotenzeichen">
    <w:name w:val="footnote reference"/>
    <w:basedOn w:val="Absatz-Standardschriftart"/>
    <w:unhideWhenUsed/>
    <w:rsid w:val="00597F1F"/>
    <w:rPr>
      <w:vertAlign w:val="superscript"/>
    </w:rPr>
  </w:style>
  <w:style w:type="paragraph" w:customStyle="1" w:styleId="DVAufzhlungPunkte">
    <w:name w:val="DV Aufzählung Punkte"/>
    <w:basedOn w:val="Listenabsatz"/>
    <w:qFormat/>
    <w:rsid w:val="00E82065"/>
    <w:pPr>
      <w:ind w:left="0"/>
      <w:jc w:val="both"/>
    </w:pPr>
    <w:rPr>
      <w:rFonts w:ascii="NimbusSanNov" w:hAnsi="NimbusSanNov"/>
      <w:sz w:val="24"/>
    </w:rPr>
  </w:style>
  <w:style w:type="paragraph" w:styleId="Listenabsatz">
    <w:name w:val="List Paragraph"/>
    <w:basedOn w:val="Standard"/>
    <w:uiPriority w:val="34"/>
    <w:qFormat/>
    <w:rsid w:val="00E820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74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4CD"/>
    <w:rPr>
      <w:rFonts w:ascii="Tahoma" w:hAnsi="Tahoma" w:cs="Tahoma"/>
      <w:sz w:val="16"/>
      <w:szCs w:val="16"/>
    </w:rPr>
  </w:style>
  <w:style w:type="paragraph" w:styleId="Kopfzeile">
    <w:name w:val="header"/>
    <w:basedOn w:val="Standard"/>
    <w:link w:val="KopfzeileZchn"/>
    <w:rsid w:val="000B5F43"/>
    <w:pPr>
      <w:tabs>
        <w:tab w:val="center" w:pos="4153"/>
        <w:tab w:val="right" w:pos="8306"/>
      </w:tabs>
      <w:spacing w:after="0" w:line="240" w:lineRule="auto"/>
    </w:pPr>
    <w:rPr>
      <w:rFonts w:ascii="NimbusSanNovReg" w:eastAsia="Times New Roman" w:hAnsi="NimbusSanNovReg" w:cs="Times New Roman"/>
      <w:szCs w:val="24"/>
    </w:rPr>
  </w:style>
  <w:style w:type="character" w:customStyle="1" w:styleId="KopfzeileZchn">
    <w:name w:val="Kopfzeile Zchn"/>
    <w:basedOn w:val="Absatz-Standardschriftart"/>
    <w:link w:val="Kopfzeile"/>
    <w:rsid w:val="000B5F43"/>
    <w:rPr>
      <w:rFonts w:ascii="NimbusSanNovReg" w:eastAsia="Times New Roman" w:hAnsi="NimbusSanNovReg" w:cs="Times New Roman"/>
      <w:szCs w:val="24"/>
    </w:rPr>
  </w:style>
  <w:style w:type="paragraph" w:customStyle="1" w:styleId="DVTitelTraktandum">
    <w:name w:val="DV Titel Traktandum"/>
    <w:basedOn w:val="Standard"/>
    <w:autoRedefine/>
    <w:qFormat/>
    <w:rsid w:val="00E82065"/>
    <w:pPr>
      <w:spacing w:after="120"/>
    </w:pPr>
    <w:rPr>
      <w:rFonts w:ascii="NimbusSanNov" w:hAnsi="NimbusSanNov"/>
      <w:b/>
      <w:sz w:val="32"/>
      <w:szCs w:val="32"/>
      <w:lang w:val="fr-CH"/>
    </w:rPr>
  </w:style>
  <w:style w:type="paragraph" w:styleId="Funotentext">
    <w:name w:val="footnote text"/>
    <w:basedOn w:val="Standard"/>
    <w:link w:val="FunotentextZchn"/>
    <w:uiPriority w:val="99"/>
    <w:unhideWhenUsed/>
    <w:rsid w:val="00597F1F"/>
    <w:pPr>
      <w:spacing w:after="0" w:line="240" w:lineRule="auto"/>
    </w:pPr>
    <w:rPr>
      <w:sz w:val="20"/>
      <w:szCs w:val="20"/>
      <w:lang w:val="fr-CH"/>
    </w:rPr>
  </w:style>
  <w:style w:type="character" w:customStyle="1" w:styleId="FunotentextZchn">
    <w:name w:val="Fußnotentext Zchn"/>
    <w:basedOn w:val="Absatz-Standardschriftart"/>
    <w:link w:val="Funotentext"/>
    <w:uiPriority w:val="99"/>
    <w:rsid w:val="00597F1F"/>
    <w:rPr>
      <w:sz w:val="20"/>
      <w:szCs w:val="20"/>
      <w:lang w:val="fr-CH"/>
    </w:rPr>
  </w:style>
  <w:style w:type="character" w:styleId="Funotenzeichen">
    <w:name w:val="footnote reference"/>
    <w:basedOn w:val="Absatz-Standardschriftart"/>
    <w:unhideWhenUsed/>
    <w:rsid w:val="00597F1F"/>
    <w:rPr>
      <w:vertAlign w:val="superscript"/>
    </w:rPr>
  </w:style>
  <w:style w:type="paragraph" w:customStyle="1" w:styleId="DVAufzhlungPunkte">
    <w:name w:val="DV Aufzählung Punkte"/>
    <w:basedOn w:val="Listenabsatz"/>
    <w:qFormat/>
    <w:rsid w:val="00E82065"/>
    <w:pPr>
      <w:ind w:left="0"/>
      <w:jc w:val="both"/>
    </w:pPr>
    <w:rPr>
      <w:rFonts w:ascii="NimbusSanNov" w:hAnsi="NimbusSanNov"/>
      <w:sz w:val="24"/>
    </w:rPr>
  </w:style>
  <w:style w:type="paragraph" w:styleId="Listenabsatz">
    <w:name w:val="List Paragraph"/>
    <w:basedOn w:val="Standard"/>
    <w:uiPriority w:val="34"/>
    <w:qFormat/>
    <w:rsid w:val="00E82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5091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Kommunikation</dc:creator>
  <cp:lastModifiedBy>Colette Siegenthaler</cp:lastModifiedBy>
  <cp:revision>3</cp:revision>
  <cp:lastPrinted>2018-02-26T08:57:00Z</cp:lastPrinted>
  <dcterms:created xsi:type="dcterms:W3CDTF">2018-02-26T08:57:00Z</dcterms:created>
  <dcterms:modified xsi:type="dcterms:W3CDTF">2018-02-26T08:57:00Z</dcterms:modified>
</cp:coreProperties>
</file>